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bookmarkStart w:id="0" w:name="_GoBack"/>
      <w:r>
        <w:rPr>
          <w:rFonts w:ascii="HelveticaNeueLTStd-Bd" w:hAnsi="HelveticaNeueLTStd-Bd" w:cs="HelveticaNeueLTStd-Bd"/>
          <w:b/>
          <w:noProof/>
          <w:sz w:val="24"/>
          <w:szCs w:val="24"/>
        </w:rPr>
        <w:drawing>
          <wp:inline distT="0" distB="0" distL="0" distR="0">
            <wp:extent cx="1173480" cy="160375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i Courter.jpg"/>
                    <pic:cNvPicPr/>
                  </pic:nvPicPr>
                  <pic:blipFill>
                    <a:blip r:embed="rId5">
                      <a:extLst>
                        <a:ext uri="{28A0092B-C50C-407E-A947-70E740481C1C}">
                          <a14:useLocalDpi xmlns:a14="http://schemas.microsoft.com/office/drawing/2010/main" val="0"/>
                        </a:ext>
                      </a:extLst>
                    </a:blip>
                    <a:stretch>
                      <a:fillRect/>
                    </a:stretch>
                  </pic:blipFill>
                  <pic:spPr>
                    <a:xfrm>
                      <a:off x="0" y="0"/>
                      <a:ext cx="1178015" cy="1609953"/>
                    </a:xfrm>
                    <a:prstGeom prst="rect">
                      <a:avLst/>
                    </a:prstGeom>
                  </pic:spPr>
                </pic:pic>
              </a:graphicData>
            </a:graphic>
          </wp:inline>
        </w:drawing>
      </w:r>
      <w:bookmarkEnd w:id="0"/>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866D7F" w:rsidRDefault="006828AE" w:rsidP="00C73807">
      <w:pPr>
        <w:autoSpaceDE w:val="0"/>
        <w:autoSpaceDN w:val="0"/>
        <w:adjustRightInd w:val="0"/>
        <w:spacing w:after="0" w:line="240" w:lineRule="auto"/>
        <w:rPr>
          <w:rFonts w:ascii="HelveticaNeueLTStd-Bd" w:hAnsi="HelveticaNeueLTStd-Bd" w:cs="HelveticaNeueLTStd-Bd"/>
          <w:b/>
        </w:rPr>
      </w:pPr>
      <w:r w:rsidRPr="00866D7F">
        <w:rPr>
          <w:rFonts w:ascii="HelveticaNeueLTStd-Bd" w:hAnsi="HelveticaNeueLTStd-Bd" w:cs="HelveticaNeueLTStd-Bd"/>
          <w:b/>
        </w:rPr>
        <w:t>Name:</w:t>
      </w:r>
      <w:r w:rsidR="00410A27" w:rsidRPr="00866D7F">
        <w:rPr>
          <w:rFonts w:ascii="HelveticaNeueLTStd-Bd" w:hAnsi="HelveticaNeueLTStd-Bd" w:cs="HelveticaNeueLTStd-Bd"/>
          <w:b/>
        </w:rPr>
        <w:t xml:space="preserve"> </w:t>
      </w:r>
      <w:r w:rsidR="00B45EE5">
        <w:rPr>
          <w:rFonts w:ascii="HelveticaNeueLTStd-Bd" w:hAnsi="HelveticaNeueLTStd-Bd" w:cs="HelveticaNeueLTStd-Bd"/>
        </w:rPr>
        <w:t>Joseph Ammar</w:t>
      </w:r>
    </w:p>
    <w:p w:rsidR="00C73807" w:rsidRPr="00866D7F" w:rsidRDefault="00C73807" w:rsidP="00C73807">
      <w:pPr>
        <w:autoSpaceDE w:val="0"/>
        <w:autoSpaceDN w:val="0"/>
        <w:adjustRightInd w:val="0"/>
        <w:spacing w:after="0" w:line="240" w:lineRule="auto"/>
        <w:rPr>
          <w:rFonts w:ascii="HelveticaNeueLTStd-Bd" w:hAnsi="HelveticaNeueLTStd-Bd" w:cs="HelveticaNeueLTStd-Bd"/>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Joseph M. Ammar is a partner in the Kalamazoo office. He is a member of the firm’s Banking, Bankruptcy and Creditors’ Rights Practice Group.</w:t>
      </w:r>
    </w:p>
    <w:p w:rsidR="00B45EE5" w:rsidRPr="00B45EE5" w:rsidRDefault="00B45EE5" w:rsidP="00B45EE5">
      <w:p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Before joining Plunkett Cooney, Joe was employed by National City Bank (now PNC Bank) as vice president and in-house counsel for 10 years where he handled commercial law matters, workouts and bankruptcy matters.</w:t>
      </w:r>
    </w:p>
    <w:p w:rsidR="00B45EE5" w:rsidRPr="00B45EE5" w:rsidRDefault="00B45EE5" w:rsidP="00B45EE5">
      <w:p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Joe’s background also includes working as an attorney in private practice where he focused on the areas of creditors’ rights, bankruptcy and commercial litigation. His clients included secured creditors, creditors’ committees, trustees and bankruptcy debtors.</w:t>
      </w:r>
    </w:p>
    <w:p w:rsidR="00B45EE5" w:rsidRDefault="00B45EE5" w:rsidP="00B45EE5">
      <w:pPr>
        <w:autoSpaceDE w:val="0"/>
        <w:autoSpaceDN w:val="0"/>
        <w:adjustRightInd w:val="0"/>
        <w:spacing w:after="0" w:line="240" w:lineRule="auto"/>
        <w:rPr>
          <w:rFonts w:ascii="HelveticaNeueLTStd-Bd" w:hAnsi="HelveticaNeueLTStd-Bd" w:cs="HelveticaNeueLTStd-Bd"/>
          <w:b/>
          <w:bCs/>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b/>
          <w:bCs/>
        </w:rPr>
      </w:pPr>
      <w:r w:rsidRPr="00B45EE5">
        <w:rPr>
          <w:rFonts w:ascii="HelveticaNeueLTStd-Bd" w:hAnsi="HelveticaNeueLTStd-Bd" w:cs="HelveticaNeueLTStd-Bd"/>
          <w:b/>
          <w:bCs/>
        </w:rPr>
        <w:t>REPRESENTATIVE CLIENT WORK</w:t>
      </w:r>
    </w:p>
    <w:p w:rsidR="00B45EE5" w:rsidRPr="00B45EE5" w:rsidRDefault="00B45EE5" w:rsidP="00B45EE5">
      <w:pPr>
        <w:numPr>
          <w:ilvl w:val="0"/>
          <w:numId w:val="5"/>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Successfully represented lenders in commercial loan workouts and restructurings</w:t>
      </w:r>
    </w:p>
    <w:p w:rsidR="00B45EE5" w:rsidRPr="00B45EE5" w:rsidRDefault="00B45EE5" w:rsidP="00B45EE5">
      <w:pPr>
        <w:numPr>
          <w:ilvl w:val="0"/>
          <w:numId w:val="5"/>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Successfully represented financial institutions and creditors in bankruptcy cases</w:t>
      </w:r>
    </w:p>
    <w:p w:rsidR="00B45EE5" w:rsidRPr="00B45EE5" w:rsidRDefault="00B45EE5" w:rsidP="00B45EE5">
      <w:pPr>
        <w:numPr>
          <w:ilvl w:val="0"/>
          <w:numId w:val="5"/>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Defended creditors in bankruptcy preference actions and obtained dismissals or favorable settlements</w:t>
      </w:r>
    </w:p>
    <w:p w:rsidR="00B45EE5" w:rsidRPr="00B45EE5" w:rsidRDefault="00B45EE5" w:rsidP="00B45EE5">
      <w:pPr>
        <w:numPr>
          <w:ilvl w:val="0"/>
          <w:numId w:val="5"/>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Collected millions of dollars on behalf of clients</w:t>
      </w:r>
    </w:p>
    <w:p w:rsidR="00B45EE5" w:rsidRDefault="00B45EE5" w:rsidP="00B45EE5">
      <w:pPr>
        <w:autoSpaceDE w:val="0"/>
        <w:autoSpaceDN w:val="0"/>
        <w:adjustRightInd w:val="0"/>
        <w:spacing w:after="0" w:line="240" w:lineRule="auto"/>
        <w:rPr>
          <w:rFonts w:ascii="HelveticaNeueLTStd-Bd" w:hAnsi="HelveticaNeueLTStd-Bd" w:cs="HelveticaNeueLTStd-Bd"/>
          <w:b/>
          <w:bCs/>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b/>
          <w:bCs/>
        </w:rPr>
      </w:pPr>
      <w:r w:rsidRPr="00B45EE5">
        <w:rPr>
          <w:rFonts w:ascii="HelveticaNeueLTStd-Bd" w:hAnsi="HelveticaNeueLTStd-Bd" w:cs="HelveticaNeueLTStd-Bd"/>
          <w:b/>
          <w:bCs/>
        </w:rPr>
        <w:t>PROFESSIONAL AFFILIATIONS</w:t>
      </w:r>
    </w:p>
    <w:p w:rsidR="00B45EE5" w:rsidRPr="00B45EE5" w:rsidRDefault="00B45EE5" w:rsidP="00B45EE5">
      <w:pPr>
        <w:numPr>
          <w:ilvl w:val="0"/>
          <w:numId w:val="6"/>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Kalamazoo County Bar Association</w:t>
      </w:r>
    </w:p>
    <w:p w:rsidR="00B45EE5" w:rsidRPr="00B45EE5" w:rsidRDefault="00B45EE5" w:rsidP="00B45EE5">
      <w:pPr>
        <w:numPr>
          <w:ilvl w:val="0"/>
          <w:numId w:val="6"/>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State Bar of Michigan (Creditors’ Rights Committee, Business Law Section)  </w:t>
      </w:r>
    </w:p>
    <w:p w:rsidR="00B45EE5" w:rsidRPr="00B45EE5" w:rsidRDefault="00B45EE5" w:rsidP="00B45EE5">
      <w:pPr>
        <w:numPr>
          <w:ilvl w:val="0"/>
          <w:numId w:val="6"/>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 xml:space="preserve">Federal Bar Association (Bankruptcy Section, Steering </w:t>
      </w:r>
      <w:proofErr w:type="gramStart"/>
      <w:r w:rsidRPr="00B45EE5">
        <w:rPr>
          <w:rFonts w:ascii="HelveticaNeueLTStd-Bd" w:hAnsi="HelveticaNeueLTStd-Bd" w:cs="HelveticaNeueLTStd-Bd"/>
        </w:rPr>
        <w:t>Committee)(</w:t>
      </w:r>
      <w:proofErr w:type="gramEnd"/>
      <w:r w:rsidRPr="00B45EE5">
        <w:rPr>
          <w:rFonts w:ascii="HelveticaNeueLTStd-Bd" w:hAnsi="HelveticaNeueLTStd-Bd" w:cs="HelveticaNeueLTStd-Bd"/>
        </w:rPr>
        <w:t>Western District of Michigan) </w:t>
      </w:r>
    </w:p>
    <w:p w:rsidR="00B45EE5" w:rsidRPr="00B45EE5" w:rsidRDefault="00B45EE5" w:rsidP="00B45EE5">
      <w:pPr>
        <w:numPr>
          <w:ilvl w:val="0"/>
          <w:numId w:val="6"/>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American Bankruptcy Institute</w:t>
      </w:r>
    </w:p>
    <w:p w:rsidR="00B45EE5" w:rsidRDefault="00B45EE5" w:rsidP="00B45EE5">
      <w:pPr>
        <w:autoSpaceDE w:val="0"/>
        <w:autoSpaceDN w:val="0"/>
        <w:adjustRightInd w:val="0"/>
        <w:spacing w:after="0" w:line="240" w:lineRule="auto"/>
        <w:rPr>
          <w:rFonts w:ascii="HelveticaNeueLTStd-Bd" w:hAnsi="HelveticaNeueLTStd-Bd" w:cs="HelveticaNeueLTStd-Bd"/>
          <w:b/>
          <w:bCs/>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b/>
          <w:bCs/>
        </w:rPr>
      </w:pPr>
      <w:r w:rsidRPr="00B45EE5">
        <w:rPr>
          <w:rFonts w:ascii="HelveticaNeueLTStd-Bd" w:hAnsi="HelveticaNeueLTStd-Bd" w:cs="HelveticaNeueLTStd-Bd"/>
          <w:b/>
          <w:bCs/>
        </w:rPr>
        <w:t>COMMUNITY INVOLVEMENT</w:t>
      </w:r>
    </w:p>
    <w:p w:rsidR="00B45EE5" w:rsidRPr="00B45EE5" w:rsidRDefault="00B45EE5" w:rsidP="00B45EE5">
      <w:pPr>
        <w:numPr>
          <w:ilvl w:val="0"/>
          <w:numId w:val="7"/>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St. Vincent de Paul Society (President, St. Catherine of Siena Conference)  </w:t>
      </w:r>
    </w:p>
    <w:p w:rsidR="00B45EE5" w:rsidRPr="00B45EE5" w:rsidRDefault="00B45EE5" w:rsidP="00B45EE5">
      <w:pPr>
        <w:numPr>
          <w:ilvl w:val="0"/>
          <w:numId w:val="7"/>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West Michigan Mustang Club</w:t>
      </w:r>
    </w:p>
    <w:p w:rsidR="00B45EE5" w:rsidRPr="00B45EE5" w:rsidRDefault="00B45EE5" w:rsidP="00B45EE5">
      <w:pPr>
        <w:numPr>
          <w:ilvl w:val="0"/>
          <w:numId w:val="7"/>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Portage Central Football Boosters Club (Past Vice President and Board Member)</w:t>
      </w:r>
    </w:p>
    <w:p w:rsidR="00B45EE5" w:rsidRPr="00B45EE5" w:rsidRDefault="00B45EE5" w:rsidP="00B45EE5">
      <w:pPr>
        <w:numPr>
          <w:ilvl w:val="0"/>
          <w:numId w:val="7"/>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Literacy Center of West Michigan (Past President, Board Member and Tutor)</w:t>
      </w:r>
    </w:p>
    <w:p w:rsidR="00B45EE5" w:rsidRDefault="00B45EE5" w:rsidP="00B45EE5">
      <w:pPr>
        <w:autoSpaceDE w:val="0"/>
        <w:autoSpaceDN w:val="0"/>
        <w:adjustRightInd w:val="0"/>
        <w:spacing w:after="0" w:line="240" w:lineRule="auto"/>
        <w:rPr>
          <w:rFonts w:ascii="HelveticaNeueLTStd-Bd" w:hAnsi="HelveticaNeueLTStd-Bd" w:cs="HelveticaNeueLTStd-Bd"/>
          <w:b/>
          <w:bCs/>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b/>
          <w:bCs/>
        </w:rPr>
      </w:pPr>
      <w:r w:rsidRPr="00B45EE5">
        <w:rPr>
          <w:rFonts w:ascii="HelveticaNeueLTStd-Bd" w:hAnsi="HelveticaNeueLTStd-Bd" w:cs="HelveticaNeueLTStd-Bd"/>
          <w:b/>
          <w:bCs/>
        </w:rPr>
        <w:t>PUBLICATIONS AND ARTICLES</w:t>
      </w:r>
    </w:p>
    <w:p w:rsidR="00B45EE5" w:rsidRPr="00B45EE5" w:rsidRDefault="00B45EE5" w:rsidP="00B45EE5">
      <w:pPr>
        <w:numPr>
          <w:ilvl w:val="0"/>
          <w:numId w:val="8"/>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Past speaker, “Bad Faith Chapter 11 Filings” for 24</w:t>
      </w:r>
      <w:r w:rsidRPr="00B45EE5">
        <w:rPr>
          <w:rFonts w:ascii="HelveticaNeueLTStd-Bd" w:hAnsi="HelveticaNeueLTStd-Bd" w:cs="HelveticaNeueLTStd-Bd"/>
          <w:vertAlign w:val="superscript"/>
        </w:rPr>
        <w:t>th</w:t>
      </w:r>
      <w:r w:rsidRPr="00B45EE5">
        <w:rPr>
          <w:rFonts w:ascii="HelveticaNeueLTStd-Bd" w:hAnsi="HelveticaNeueLTStd-Bd" w:cs="HelveticaNeueLTStd-Bd"/>
        </w:rPr>
        <w:t> Annual Federal Bar Association Bankruptcy Section seminar</w:t>
      </w:r>
    </w:p>
    <w:p w:rsidR="00B45EE5" w:rsidRPr="00B45EE5" w:rsidRDefault="00B45EE5" w:rsidP="00B45EE5">
      <w:pPr>
        <w:numPr>
          <w:ilvl w:val="0"/>
          <w:numId w:val="8"/>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“Full Satisfaction Checks Under Section 3-311 of the Uniform Commercial Code,” Michigan Business Law Journal, Volume XIX-1</w:t>
      </w:r>
    </w:p>
    <w:p w:rsidR="00B45EE5" w:rsidRPr="00B45EE5" w:rsidRDefault="00B45EE5" w:rsidP="00B45EE5">
      <w:pPr>
        <w:numPr>
          <w:ilvl w:val="0"/>
          <w:numId w:val="8"/>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Past Editor of “Recent Case Decisions” column in the Federal Bar Association’s Bankruptcy Law newsletter</w:t>
      </w:r>
    </w:p>
    <w:p w:rsidR="00B45EE5" w:rsidRPr="00B45EE5" w:rsidRDefault="00B45EE5" w:rsidP="00B45EE5">
      <w:pPr>
        <w:numPr>
          <w:ilvl w:val="0"/>
          <w:numId w:val="8"/>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Past faculty member of the National Business Institute’s Michigan Foreclosure and Repossession seminar</w:t>
      </w:r>
    </w:p>
    <w:p w:rsidR="00B45EE5" w:rsidRDefault="00B45EE5" w:rsidP="00B45EE5">
      <w:pPr>
        <w:autoSpaceDE w:val="0"/>
        <w:autoSpaceDN w:val="0"/>
        <w:adjustRightInd w:val="0"/>
        <w:spacing w:after="0" w:line="240" w:lineRule="auto"/>
        <w:rPr>
          <w:rFonts w:ascii="HelveticaNeueLTStd-Bd" w:hAnsi="HelveticaNeueLTStd-Bd" w:cs="HelveticaNeueLTStd-Bd"/>
          <w:b/>
          <w:bCs/>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b/>
          <w:bCs/>
        </w:rPr>
      </w:pPr>
      <w:r>
        <w:rPr>
          <w:rFonts w:ascii="HelveticaNeueLTStd-Bd" w:hAnsi="HelveticaNeueLTStd-Bd" w:cs="HelveticaNeueLTStd-Bd"/>
          <w:b/>
          <w:bCs/>
        </w:rPr>
        <w:t>EDUCATION</w:t>
      </w:r>
    </w:p>
    <w:p w:rsidR="00B45EE5" w:rsidRPr="00B45EE5" w:rsidRDefault="00B45EE5" w:rsidP="00B45EE5">
      <w:pPr>
        <w:numPr>
          <w:ilvl w:val="0"/>
          <w:numId w:val="10"/>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Wayne State University Law School, J.D., 1988</w:t>
      </w:r>
    </w:p>
    <w:p w:rsidR="00B45EE5" w:rsidRPr="00B45EE5" w:rsidRDefault="00B45EE5" w:rsidP="00B45EE5">
      <w:pPr>
        <w:numPr>
          <w:ilvl w:val="0"/>
          <w:numId w:val="10"/>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Wayne State University, with high distinction, B.S. 1985</w:t>
      </w:r>
    </w:p>
    <w:p w:rsidR="00B45EE5" w:rsidRDefault="00B45EE5" w:rsidP="00B45EE5">
      <w:pPr>
        <w:autoSpaceDE w:val="0"/>
        <w:autoSpaceDN w:val="0"/>
        <w:adjustRightInd w:val="0"/>
        <w:spacing w:after="0" w:line="240" w:lineRule="auto"/>
        <w:rPr>
          <w:rFonts w:ascii="HelveticaNeueLTStd-Bd" w:hAnsi="HelveticaNeueLTStd-Bd" w:cs="HelveticaNeueLTStd-Bd"/>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rPr>
      </w:pPr>
    </w:p>
    <w:p w:rsidR="00B45EE5" w:rsidRPr="00B45EE5" w:rsidRDefault="00B45EE5" w:rsidP="00B45EE5">
      <w:pPr>
        <w:autoSpaceDE w:val="0"/>
        <w:autoSpaceDN w:val="0"/>
        <w:adjustRightInd w:val="0"/>
        <w:spacing w:after="0" w:line="240" w:lineRule="auto"/>
        <w:rPr>
          <w:rFonts w:ascii="HelveticaNeueLTStd-Bd" w:hAnsi="HelveticaNeueLTStd-Bd" w:cs="HelveticaNeueLTStd-Bd"/>
          <w:b/>
          <w:bCs/>
        </w:rPr>
      </w:pPr>
      <w:r>
        <w:rPr>
          <w:rFonts w:ascii="HelveticaNeueLTStd-Bd" w:hAnsi="HelveticaNeueLTStd-Bd" w:cs="HelveticaNeueLTStd-Bd"/>
          <w:b/>
          <w:bCs/>
        </w:rPr>
        <w:t>HONORS AND AWARDS</w:t>
      </w:r>
    </w:p>
    <w:p w:rsidR="00B45EE5" w:rsidRPr="00B45EE5" w:rsidRDefault="00B45EE5" w:rsidP="00B45EE5">
      <w:pPr>
        <w:numPr>
          <w:ilvl w:val="0"/>
          <w:numId w:val="11"/>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Mark W. Johnson Memorial Moot Court Brief</w:t>
      </w:r>
      <w:r>
        <w:rPr>
          <w:rFonts w:ascii="HelveticaNeueLTStd-Bd" w:hAnsi="HelveticaNeueLTStd-Bd" w:cs="HelveticaNeueLTStd-Bd"/>
        </w:rPr>
        <w:t>-</w:t>
      </w:r>
      <w:r w:rsidRPr="00B45EE5">
        <w:rPr>
          <w:rFonts w:ascii="HelveticaNeueLTStd-Bd" w:hAnsi="HelveticaNeueLTStd-Bd" w:cs="HelveticaNeueLTStd-Bd"/>
        </w:rPr>
        <w:t>writing Award</w:t>
      </w:r>
    </w:p>
    <w:p w:rsidR="00B45EE5" w:rsidRPr="00B45EE5" w:rsidRDefault="00B45EE5" w:rsidP="00B45EE5">
      <w:pPr>
        <w:numPr>
          <w:ilvl w:val="0"/>
          <w:numId w:val="11"/>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National Dean’s List</w:t>
      </w:r>
    </w:p>
    <w:p w:rsidR="00B45EE5" w:rsidRPr="00B45EE5" w:rsidRDefault="00B45EE5" w:rsidP="00B45EE5">
      <w:pPr>
        <w:numPr>
          <w:ilvl w:val="0"/>
          <w:numId w:val="11"/>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Beta Gamma Sigma National Honor Society</w:t>
      </w:r>
    </w:p>
    <w:p w:rsidR="00B45EE5" w:rsidRPr="00B45EE5" w:rsidRDefault="00B45EE5" w:rsidP="00B45EE5">
      <w:pPr>
        <w:numPr>
          <w:ilvl w:val="0"/>
          <w:numId w:val="11"/>
        </w:numPr>
        <w:autoSpaceDE w:val="0"/>
        <w:autoSpaceDN w:val="0"/>
        <w:adjustRightInd w:val="0"/>
        <w:spacing w:after="0" w:line="240" w:lineRule="auto"/>
        <w:rPr>
          <w:rFonts w:ascii="HelveticaNeueLTStd-Bd" w:hAnsi="HelveticaNeueLTStd-Bd" w:cs="HelveticaNeueLTStd-Bd"/>
        </w:rPr>
      </w:pPr>
      <w:r w:rsidRPr="00B45EE5">
        <w:rPr>
          <w:rFonts w:ascii="HelveticaNeueLTStd-Bd" w:hAnsi="HelveticaNeueLTStd-Bd" w:cs="HelveticaNeueLTStd-Bd"/>
        </w:rPr>
        <w:t>Golden Key National Honor Society</w:t>
      </w:r>
    </w:p>
    <w:p w:rsidR="008C301A" w:rsidRPr="00866D7F" w:rsidRDefault="008C301A" w:rsidP="00B45EE5">
      <w:pPr>
        <w:autoSpaceDE w:val="0"/>
        <w:autoSpaceDN w:val="0"/>
        <w:adjustRightInd w:val="0"/>
        <w:spacing w:after="0" w:line="240" w:lineRule="auto"/>
        <w:rPr>
          <w:rFonts w:ascii="HelveticaNeueLTStd-Roman" w:hAnsi="HelveticaNeueLTStd-Roman" w:cs="HelveticaNeueLTStd-Roman"/>
          <w:b/>
        </w:rPr>
      </w:pPr>
    </w:p>
    <w:sectPr w:rsidR="008C301A" w:rsidRPr="0086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2F"/>
    <w:multiLevelType w:val="multilevel"/>
    <w:tmpl w:val="4B6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7F6C"/>
    <w:multiLevelType w:val="multilevel"/>
    <w:tmpl w:val="3C1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174E"/>
    <w:multiLevelType w:val="multilevel"/>
    <w:tmpl w:val="74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785"/>
    <w:multiLevelType w:val="hybridMultilevel"/>
    <w:tmpl w:val="C33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2019E"/>
    <w:multiLevelType w:val="multilevel"/>
    <w:tmpl w:val="802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C7493"/>
    <w:multiLevelType w:val="multilevel"/>
    <w:tmpl w:val="E59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50D09"/>
    <w:multiLevelType w:val="hybridMultilevel"/>
    <w:tmpl w:val="716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7A4"/>
    <w:multiLevelType w:val="hybridMultilevel"/>
    <w:tmpl w:val="8B9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9578E"/>
    <w:multiLevelType w:val="multilevel"/>
    <w:tmpl w:val="573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74031"/>
    <w:multiLevelType w:val="hybridMultilevel"/>
    <w:tmpl w:val="25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34E"/>
    <w:multiLevelType w:val="multilevel"/>
    <w:tmpl w:val="8E1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7"/>
  </w:num>
  <w:num w:numId="5">
    <w:abstractNumId w:val="4"/>
  </w:num>
  <w:num w:numId="6">
    <w:abstractNumId w:val="5"/>
  </w:num>
  <w:num w:numId="7">
    <w:abstractNumId w:val="2"/>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823426"/>
    <w:rsid w:val="0084597C"/>
    <w:rsid w:val="00850E83"/>
    <w:rsid w:val="00866D7F"/>
    <w:rsid w:val="00871664"/>
    <w:rsid w:val="008C301A"/>
    <w:rsid w:val="009B2EFC"/>
    <w:rsid w:val="00AC608C"/>
    <w:rsid w:val="00B45EE5"/>
    <w:rsid w:val="00C33B47"/>
    <w:rsid w:val="00C73807"/>
    <w:rsid w:val="00CB7537"/>
    <w:rsid w:val="00CF29EE"/>
    <w:rsid w:val="00D90177"/>
    <w:rsid w:val="00E71831"/>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6F35"/>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 w:type="paragraph" w:styleId="ListParagraph">
    <w:name w:val="List Paragraph"/>
    <w:basedOn w:val="Normal"/>
    <w:uiPriority w:val="34"/>
    <w:qFormat/>
    <w:rsid w:val="0086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508">
      <w:bodyDiv w:val="1"/>
      <w:marLeft w:val="0"/>
      <w:marRight w:val="0"/>
      <w:marTop w:val="0"/>
      <w:marBottom w:val="0"/>
      <w:divBdr>
        <w:top w:val="none" w:sz="0" w:space="0" w:color="auto"/>
        <w:left w:val="none" w:sz="0" w:space="0" w:color="auto"/>
        <w:bottom w:val="none" w:sz="0" w:space="0" w:color="auto"/>
        <w:right w:val="none" w:sz="0" w:space="0" w:color="auto"/>
      </w:divBdr>
    </w:div>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665235223">
      <w:bodyDiv w:val="1"/>
      <w:marLeft w:val="0"/>
      <w:marRight w:val="0"/>
      <w:marTop w:val="0"/>
      <w:marBottom w:val="0"/>
      <w:divBdr>
        <w:top w:val="none" w:sz="0" w:space="0" w:color="auto"/>
        <w:left w:val="none" w:sz="0" w:space="0" w:color="auto"/>
        <w:bottom w:val="none" w:sz="0" w:space="0" w:color="auto"/>
        <w:right w:val="none" w:sz="0" w:space="0" w:color="auto"/>
      </w:divBdr>
    </w:div>
    <w:div w:id="1910846914">
      <w:bodyDiv w:val="1"/>
      <w:marLeft w:val="0"/>
      <w:marRight w:val="0"/>
      <w:marTop w:val="0"/>
      <w:marBottom w:val="0"/>
      <w:divBdr>
        <w:top w:val="none" w:sz="0" w:space="0" w:color="auto"/>
        <w:left w:val="none" w:sz="0" w:space="0" w:color="auto"/>
        <w:bottom w:val="none" w:sz="0" w:space="0" w:color="auto"/>
        <w:right w:val="none" w:sz="0" w:space="0" w:color="auto"/>
      </w:divBdr>
      <w:divsChild>
        <w:div w:id="2110082550">
          <w:marLeft w:val="0"/>
          <w:marRight w:val="0"/>
          <w:marTop w:val="0"/>
          <w:marBottom w:val="0"/>
          <w:divBdr>
            <w:top w:val="none" w:sz="0" w:space="0" w:color="auto"/>
            <w:left w:val="none" w:sz="0" w:space="0" w:color="auto"/>
            <w:bottom w:val="none" w:sz="0" w:space="0" w:color="auto"/>
            <w:right w:val="none" w:sz="0" w:space="0" w:color="auto"/>
          </w:divBdr>
          <w:divsChild>
            <w:div w:id="1448042199">
              <w:marLeft w:val="0"/>
              <w:marRight w:val="0"/>
              <w:marTop w:val="0"/>
              <w:marBottom w:val="0"/>
              <w:divBdr>
                <w:top w:val="none" w:sz="0" w:space="0" w:color="auto"/>
                <w:left w:val="none" w:sz="0" w:space="0" w:color="auto"/>
                <w:bottom w:val="none" w:sz="0" w:space="0" w:color="auto"/>
                <w:right w:val="none" w:sz="0" w:space="0" w:color="auto"/>
              </w:divBdr>
              <w:divsChild>
                <w:div w:id="1174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2</cp:revision>
  <cp:lastPrinted>2016-12-09T19:50:00Z</cp:lastPrinted>
  <dcterms:created xsi:type="dcterms:W3CDTF">2017-01-17T18:15:00Z</dcterms:created>
  <dcterms:modified xsi:type="dcterms:W3CDTF">2017-01-17T18:15:00Z</dcterms:modified>
</cp:coreProperties>
</file>